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FD1EE2C" w:rsidR="00F92268" w:rsidRPr="0096246F" w:rsidRDefault="00F92268" w:rsidP="00850792">
      <w:pPr>
        <w:pStyle w:val="BodyText"/>
        <w:rPr>
          <w:sz w:val="6"/>
          <w:szCs w:val="6"/>
        </w:rPr>
      </w:pPr>
      <w:r w:rsidRPr="0096246F">
        <w:rPr>
          <w:noProof/>
        </w:rPr>
        <w:drawing>
          <wp:anchor distT="0" distB="0" distL="114300" distR="114300" simplePos="0" relativeHeight="251658240" behindDoc="0" locked="0" layoutInCell="1" allowOverlap="1" wp14:anchorId="0F8F2AD5" wp14:editId="56A76B73">
            <wp:simplePos x="457200" y="571500"/>
            <wp:positionH relativeFrom="column">
              <wp:align>left</wp:align>
            </wp:positionH>
            <wp:positionV relativeFrom="paragraph">
              <wp:align>top</wp:align>
            </wp:positionV>
            <wp:extent cx="1661840" cy="187991"/>
            <wp:effectExtent l="0" t="0" r="0" b="2540"/>
            <wp:wrapSquare wrapText="bothSides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1D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6246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6246F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96246F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96246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2371594" w:rsidR="00F92268" w:rsidRPr="0096246F" w:rsidRDefault="00D64B35" w:rsidP="000025F0">
            <w:pPr>
              <w:pStyle w:val="Header"/>
              <w:rPr>
                <w:rFonts w:cs="Arial"/>
                <w:color w:val="000000" w:themeColor="text1"/>
                <w:sz w:val="16"/>
                <w:szCs w:val="16"/>
              </w:rPr>
            </w:pPr>
            <w:r w:rsidRPr="0096246F">
              <w:rPr>
                <w:color w:val="000000" w:themeColor="text1"/>
                <w:sz w:val="16"/>
                <w:szCs w:val="16"/>
              </w:rPr>
              <w:t>1885-A</w:t>
            </w:r>
          </w:p>
        </w:tc>
      </w:tr>
    </w:tbl>
    <w:p w14:paraId="74FBA5B4" w14:textId="77777777" w:rsidR="00051356" w:rsidRPr="0096246F" w:rsidRDefault="00051356" w:rsidP="00A672B3">
      <w:pPr>
        <w:pStyle w:val="BodyText"/>
        <w:rPr>
          <w:b/>
          <w:bCs/>
          <w:sz w:val="16"/>
          <w:szCs w:val="16"/>
        </w:rPr>
        <w:sectPr w:rsidR="00051356" w:rsidRPr="0096246F" w:rsidSect="00A161DC">
          <w:headerReference w:type="default" r:id="rId12"/>
          <w:footerReference w:type="default" r:id="rId13"/>
          <w:footerReference w:type="first" r:id="rId14"/>
          <w:pgSz w:w="12240" w:h="15840" w:code="1"/>
          <w:pgMar w:top="615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19D9716" w14:textId="13DA05AE" w:rsidR="00D64B35" w:rsidRPr="0096246F" w:rsidRDefault="00D64B35" w:rsidP="0096246F">
      <w:pPr>
        <w:pStyle w:val="Heading1"/>
      </w:pPr>
      <w:r w:rsidRPr="0096246F">
        <w:t>Specialty Guideline Management</w:t>
      </w:r>
      <w:r w:rsidR="0096246F" w:rsidRPr="0096246F">
        <w:br/>
      </w:r>
      <w:r w:rsidRPr="0096246F">
        <w:t>Orkambi</w:t>
      </w:r>
    </w:p>
    <w:p w14:paraId="65B9E9E7" w14:textId="77777777" w:rsidR="00D64B35" w:rsidRPr="0096246F" w:rsidRDefault="00D64B35" w:rsidP="00D64B35">
      <w:pPr>
        <w:pStyle w:val="Heading2"/>
      </w:pPr>
      <w:r w:rsidRPr="0096246F">
        <w:t>Products Referenced by this Document</w:t>
      </w:r>
    </w:p>
    <w:p w14:paraId="284F24A0" w14:textId="2BC081AC" w:rsidR="00D64B35" w:rsidRPr="0096246F" w:rsidRDefault="00D64B35" w:rsidP="00D64B35">
      <w:pPr>
        <w:pStyle w:val="BodyText"/>
      </w:pPr>
      <w:r w:rsidRPr="0096246F">
        <w:t xml:space="preserve">Drugs that are listed in the following table include both brand and generic and all dosage forms and strengths unless otherwise stated. </w:t>
      </w:r>
      <w:r w:rsidR="00586BFE">
        <w:t>Over-the-counter (</w:t>
      </w:r>
      <w:r w:rsidRPr="0096246F">
        <w:t>OTC</w:t>
      </w:r>
      <w:r w:rsidR="00586BFE">
        <w:t>)</w:t>
      </w:r>
      <w:r w:rsidRPr="0096246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D64B35" w:rsidRPr="0096246F" w14:paraId="146340D5" w14:textId="77777777" w:rsidTr="00720B0B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7F3CE291" w14:textId="77777777" w:rsidR="00D64B35" w:rsidRPr="0096246F" w:rsidRDefault="00D64B35" w:rsidP="00720B0B">
            <w:pPr>
              <w:pStyle w:val="TableHeader"/>
            </w:pPr>
            <w:r w:rsidRPr="0096246F">
              <w:t>Brand Name</w:t>
            </w:r>
          </w:p>
        </w:tc>
        <w:tc>
          <w:tcPr>
            <w:tcW w:w="5595" w:type="dxa"/>
            <w:vAlign w:val="center"/>
          </w:tcPr>
          <w:p w14:paraId="5DCCC9B6" w14:textId="77777777" w:rsidR="00D64B35" w:rsidRPr="0096246F" w:rsidRDefault="00D64B35" w:rsidP="00720B0B">
            <w:pPr>
              <w:pStyle w:val="TableHeader"/>
            </w:pPr>
            <w:r w:rsidRPr="0096246F">
              <w:t>Generic Name</w:t>
            </w:r>
          </w:p>
        </w:tc>
      </w:tr>
      <w:tr w:rsidR="00D64B35" w:rsidRPr="0096246F" w14:paraId="6DCFE7D0" w14:textId="77777777" w:rsidTr="00720B0B">
        <w:trPr>
          <w:cantSplit/>
        </w:trPr>
        <w:tc>
          <w:tcPr>
            <w:tcW w:w="5265" w:type="dxa"/>
          </w:tcPr>
          <w:p w14:paraId="3EBAEC91" w14:textId="2E18B057" w:rsidR="00D64B35" w:rsidRPr="0096246F" w:rsidRDefault="00D64B35" w:rsidP="00720B0B">
            <w:pPr>
              <w:pStyle w:val="BodyText"/>
              <w:spacing w:after="0"/>
            </w:pPr>
            <w:r w:rsidRPr="0096246F">
              <w:t>Orkambi</w:t>
            </w:r>
          </w:p>
        </w:tc>
        <w:tc>
          <w:tcPr>
            <w:tcW w:w="5595" w:type="dxa"/>
          </w:tcPr>
          <w:p w14:paraId="24125191" w14:textId="77777777" w:rsidR="00D64B35" w:rsidRPr="0096246F" w:rsidRDefault="00D64B35" w:rsidP="00720B0B">
            <w:pPr>
              <w:pStyle w:val="BodyText"/>
              <w:spacing w:after="0"/>
            </w:pPr>
            <w:r w:rsidRPr="0096246F">
              <w:t>lumacaftor/ivacaftor</w:t>
            </w:r>
          </w:p>
        </w:tc>
      </w:tr>
    </w:tbl>
    <w:p w14:paraId="5BFD02FB" w14:textId="77777777" w:rsidR="00D64B35" w:rsidRPr="0096246F" w:rsidRDefault="00D64B35" w:rsidP="00D64B35">
      <w:pPr>
        <w:pStyle w:val="Heading2"/>
      </w:pPr>
      <w:r w:rsidRPr="0096246F">
        <w:t>Indications</w:t>
      </w:r>
    </w:p>
    <w:p w14:paraId="14685118" w14:textId="77777777" w:rsidR="00D64B35" w:rsidRPr="0096246F" w:rsidRDefault="00D64B35" w:rsidP="00D64B35">
      <w:pPr>
        <w:pStyle w:val="BodyText"/>
      </w:pPr>
      <w:r w:rsidRPr="0096246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0FBCD81" w14:textId="380FBCD7" w:rsidR="00D64B35" w:rsidRPr="0096246F" w:rsidRDefault="00D64B35" w:rsidP="00D64B35">
      <w:pPr>
        <w:pStyle w:val="Heading3"/>
        <w:keepNext w:val="0"/>
      </w:pPr>
      <w:r w:rsidRPr="0096246F">
        <w:t>FDA-approved Indication</w:t>
      </w:r>
      <w:r w:rsidR="00FA251B" w:rsidRPr="00D21D77">
        <w:rPr>
          <w:vertAlign w:val="superscript"/>
        </w:rPr>
        <w:t>1</w:t>
      </w:r>
    </w:p>
    <w:p w14:paraId="570781CA" w14:textId="77777777" w:rsidR="00D64B35" w:rsidRPr="0096246F" w:rsidRDefault="00D64B35" w:rsidP="00D64B35">
      <w:pPr>
        <w:pStyle w:val="BodyText"/>
      </w:pPr>
      <w:r w:rsidRPr="0096246F">
        <w:t>Orkambi is a combination of lumacaftor and ivacaftor indicated for the treatment of cystic fibrosis (CF) in patients aged 1 year and older who are homozygous for the F508del mutation in the cystic fibrosis transmembrane conductance regulator (CFTR) gene. If the patient’s genotype is unknown, an FDA-cleared CF mutation test should be used to detect the presence of the F508del mutation on both alleles of the CFTR gene.</w:t>
      </w:r>
    </w:p>
    <w:p w14:paraId="560AF780" w14:textId="77777777" w:rsidR="00D64B35" w:rsidRPr="0096246F" w:rsidRDefault="00D64B35" w:rsidP="0096246F">
      <w:pPr>
        <w:pStyle w:val="Heading4"/>
      </w:pPr>
      <w:r w:rsidRPr="0096246F">
        <w:t>Limitations of Use</w:t>
      </w:r>
    </w:p>
    <w:p w14:paraId="7DC5DBFD" w14:textId="77777777" w:rsidR="00D64B35" w:rsidRPr="0096246F" w:rsidRDefault="00D64B35" w:rsidP="00D64B35">
      <w:pPr>
        <w:pStyle w:val="BodyText"/>
      </w:pPr>
      <w:r w:rsidRPr="0096246F">
        <w:t xml:space="preserve">The efficacy and safety of Orkambi have not been established in patients with CF other than those homozygous for the F508del mutation. </w:t>
      </w:r>
    </w:p>
    <w:p w14:paraId="58B5BE87" w14:textId="77777777" w:rsidR="0096246F" w:rsidRDefault="00D64B35" w:rsidP="00D64B35">
      <w:pPr>
        <w:pStyle w:val="BodyText"/>
      </w:pPr>
      <w:r w:rsidRPr="0096246F">
        <w:t>All other indications are considered experimental/investigational and are not medically necessary.</w:t>
      </w:r>
    </w:p>
    <w:p w14:paraId="1D70F6E2" w14:textId="121362DD" w:rsidR="00D64B35" w:rsidRPr="0096246F" w:rsidRDefault="00D64B35" w:rsidP="00D64B35">
      <w:pPr>
        <w:pStyle w:val="Heading2"/>
        <w:tabs>
          <w:tab w:val="clear" w:pos="2880"/>
          <w:tab w:val="left" w:pos="9846"/>
        </w:tabs>
      </w:pPr>
      <w:r w:rsidRPr="0096246F">
        <w:lastRenderedPageBreak/>
        <w:t>Documentation</w:t>
      </w:r>
    </w:p>
    <w:p w14:paraId="11BBFC05" w14:textId="6A98E9B5" w:rsidR="00D64B35" w:rsidRPr="0096246F" w:rsidRDefault="00D64B35" w:rsidP="00D64B35">
      <w:pPr>
        <w:pStyle w:val="BodyText"/>
      </w:pPr>
      <w:r w:rsidRPr="0096246F">
        <w:t>Submission of the following information is necessary to initiate the prior authorization review: For initial requests, genetic testing report confirming the presence of the appropriate CFTR gene mutation</w:t>
      </w:r>
      <w:r w:rsidR="002137DE">
        <w:t>.</w:t>
      </w:r>
    </w:p>
    <w:p w14:paraId="73BFFCF7" w14:textId="77777777" w:rsidR="00D64B35" w:rsidRPr="0096246F" w:rsidRDefault="00D64B35" w:rsidP="00D64B35">
      <w:pPr>
        <w:pStyle w:val="Heading2"/>
      </w:pPr>
      <w:r w:rsidRPr="0096246F">
        <w:t>Prescriber Specialties</w:t>
      </w:r>
    </w:p>
    <w:p w14:paraId="275895EE" w14:textId="77777777" w:rsidR="00D64B35" w:rsidRPr="0096246F" w:rsidRDefault="00D64B35" w:rsidP="00D64B35">
      <w:pPr>
        <w:pStyle w:val="BodyText"/>
      </w:pPr>
      <w:r w:rsidRPr="0096246F">
        <w:t>This medication must be prescribed by or in consultation with a pulmonologist.</w:t>
      </w:r>
    </w:p>
    <w:p w14:paraId="0C7C8B3A" w14:textId="0D51ABB9" w:rsidR="00D64B35" w:rsidRPr="0096246F" w:rsidRDefault="007D55D5" w:rsidP="00D64B35">
      <w:pPr>
        <w:pStyle w:val="Heading2"/>
      </w:pPr>
      <w:r>
        <w:t>Coverage criteria</w:t>
      </w:r>
    </w:p>
    <w:p w14:paraId="20F5F9A7" w14:textId="484AFC39" w:rsidR="00D64B35" w:rsidRPr="0096246F" w:rsidRDefault="00D64B35" w:rsidP="0096246F">
      <w:pPr>
        <w:pStyle w:val="Heading3"/>
      </w:pPr>
      <w:r w:rsidRPr="0096246F">
        <w:t>Cystic Fibrosis</w:t>
      </w:r>
      <w:r w:rsidR="00A808AB" w:rsidRPr="00D21D77">
        <w:rPr>
          <w:vertAlign w:val="superscript"/>
        </w:rPr>
        <w:t>1</w:t>
      </w:r>
    </w:p>
    <w:p w14:paraId="17773D62" w14:textId="77777777" w:rsidR="00D64B35" w:rsidRPr="0096246F" w:rsidRDefault="00D64B35" w:rsidP="00D64B35">
      <w:pPr>
        <w:pStyle w:val="BodyText"/>
      </w:pPr>
      <w:r w:rsidRPr="0096246F">
        <w:t>Authorization of 12 months may be granted for treatment of cystic fibrosis when all of the following criteria are met:</w:t>
      </w:r>
    </w:p>
    <w:p w14:paraId="547A978A" w14:textId="77777777" w:rsidR="00D64B35" w:rsidRPr="00B14863" w:rsidRDefault="00D64B35" w:rsidP="00B14863">
      <w:pPr>
        <w:pStyle w:val="ListParagraph"/>
      </w:pPr>
      <w:r w:rsidRPr="00B14863">
        <w:t>Genetic testing was conducted to detect a mutation in the CFTR gene.</w:t>
      </w:r>
    </w:p>
    <w:p w14:paraId="7E147926" w14:textId="280AF920" w:rsidR="00D64B35" w:rsidRPr="00B14863" w:rsidRDefault="00D64B35" w:rsidP="00B14863">
      <w:pPr>
        <w:pStyle w:val="ListParagraph"/>
      </w:pPr>
      <w:r w:rsidRPr="00B14863">
        <w:t xml:space="preserve">The member is </w:t>
      </w:r>
      <w:r w:rsidR="002A011D">
        <w:t>homozygous for the F508del mutation (</w:t>
      </w:r>
      <w:r w:rsidRPr="00B14863">
        <w:t>positive for the F508del mutation on both alleles</w:t>
      </w:r>
      <w:r w:rsidR="002A011D">
        <w:t>)</w:t>
      </w:r>
      <w:r w:rsidRPr="00B14863">
        <w:t xml:space="preserve"> of the CFTR gene.</w:t>
      </w:r>
    </w:p>
    <w:p w14:paraId="727895D8" w14:textId="77777777" w:rsidR="00D64B35" w:rsidRPr="00B14863" w:rsidRDefault="00D64B35" w:rsidP="00B14863">
      <w:pPr>
        <w:pStyle w:val="ListParagraph"/>
      </w:pPr>
      <w:r w:rsidRPr="00B14863">
        <w:t>The member is at least 1 year of age.</w:t>
      </w:r>
    </w:p>
    <w:p w14:paraId="49632E4C" w14:textId="77777777" w:rsidR="00D64B35" w:rsidRPr="0096246F" w:rsidRDefault="00D64B35" w:rsidP="00D64B35">
      <w:pPr>
        <w:pStyle w:val="Heading2"/>
      </w:pPr>
      <w:r w:rsidRPr="0096246F">
        <w:t>Continuation of Therapy</w:t>
      </w:r>
    </w:p>
    <w:p w14:paraId="7CF403DB" w14:textId="764CC4BF" w:rsidR="00D64B35" w:rsidRDefault="00D64B35" w:rsidP="00D64B35">
      <w:pPr>
        <w:pStyle w:val="BodyText"/>
      </w:pPr>
      <w:r w:rsidRPr="0096246F">
        <w:t xml:space="preserve">Authorization of 12 months may be granted for continued treatment in members requesting reauthorization for an indication listed in </w:t>
      </w:r>
      <w:r w:rsidR="00B636DC">
        <w:t>the coverage criteria section</w:t>
      </w:r>
      <w:r w:rsidR="008B0316">
        <w:t xml:space="preserve"> </w:t>
      </w:r>
      <w:r w:rsidRPr="0096246F">
        <w:t>who are experiencing benefit from therapy as evidenced by disease stability or disease improvement (e.g., improvement in FEV1 from baseline).</w:t>
      </w:r>
    </w:p>
    <w:p w14:paraId="5341D11E" w14:textId="77777777" w:rsidR="006056C9" w:rsidRPr="000E0356" w:rsidRDefault="006056C9" w:rsidP="006056C9">
      <w:pPr>
        <w:pStyle w:val="Heading2"/>
        <w:rPr>
          <w:vertAlign w:val="superscript"/>
        </w:rPr>
      </w:pPr>
      <w:r w:rsidRPr="000E0356">
        <w:t>Other</w:t>
      </w:r>
    </w:p>
    <w:p w14:paraId="43B6B4C5" w14:textId="600EAA8E" w:rsidR="006056C9" w:rsidRPr="005C0A3B" w:rsidRDefault="006056C9" w:rsidP="00D64B35">
      <w:pPr>
        <w:pStyle w:val="BodyText"/>
        <w:rPr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Orkambi will not be used in combination with another CFTR modulator for the treatment of cystic fibrosis (e.g., Alyftrek, Symdeko).</w:t>
      </w:r>
    </w:p>
    <w:p w14:paraId="3844D821" w14:textId="11359E0B" w:rsidR="00D64B35" w:rsidRPr="0096246F" w:rsidRDefault="00D64B35" w:rsidP="00D64B35">
      <w:pPr>
        <w:pStyle w:val="Heading2"/>
      </w:pPr>
      <w:r w:rsidRPr="0096246F">
        <w:t>Reference</w:t>
      </w:r>
    </w:p>
    <w:p w14:paraId="6FB9169B" w14:textId="125B7C6E" w:rsidR="00D64B35" w:rsidRDefault="00D64B35" w:rsidP="00F21599">
      <w:pPr>
        <w:pStyle w:val="BodyText"/>
        <w:numPr>
          <w:ilvl w:val="0"/>
          <w:numId w:val="28"/>
        </w:numPr>
      </w:pPr>
      <w:r w:rsidRPr="0096246F">
        <w:t xml:space="preserve">Orkambi [package insert]. Boston, MA: Vertex Pharmaceuticals </w:t>
      </w:r>
      <w:r w:rsidR="00E94080">
        <w:t>Incorporated</w:t>
      </w:r>
      <w:r w:rsidR="00F10705">
        <w:t xml:space="preserve">; </w:t>
      </w:r>
      <w:r w:rsidR="0099465E">
        <w:t>December 2024</w:t>
      </w:r>
      <w:r w:rsidR="00F10705">
        <w:t>.</w:t>
      </w:r>
    </w:p>
    <w:sectPr w:rsidR="00D64B35" w:rsidSect="00A161DC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32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ADA9" w14:textId="77777777" w:rsidR="005626C7" w:rsidRDefault="005626C7">
      <w:r>
        <w:separator/>
      </w:r>
    </w:p>
  </w:endnote>
  <w:endnote w:type="continuationSeparator" w:id="0">
    <w:p w14:paraId="15E09B12" w14:textId="77777777" w:rsidR="005626C7" w:rsidRDefault="005626C7">
      <w:r>
        <w:continuationSeparator/>
      </w:r>
    </w:p>
  </w:endnote>
  <w:endnote w:type="continuationNotice" w:id="1">
    <w:p w14:paraId="5FF390B5" w14:textId="77777777" w:rsidR="005626C7" w:rsidRDefault="00562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0986D" w14:textId="77777777" w:rsidR="00A161DC" w:rsidRPr="0096246F" w:rsidRDefault="00A161DC" w:rsidP="00A161DC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6246F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A161DC">
      <w:rPr>
        <w:rFonts w:cs="Arial"/>
        <w:noProof/>
        <w:sz w:val="16"/>
        <w:szCs w:val="16"/>
      </w:rPr>
      <w:t>Orkambi SGM</w:t>
    </w:r>
    <w:r>
      <w:rPr>
        <w:rFonts w:cs="Arial"/>
        <w:noProof/>
        <w:snapToGrid w:val="0"/>
        <w:color w:val="000000"/>
        <w:sz w:val="16"/>
        <w:szCs w:val="16"/>
      </w:rPr>
      <w:t xml:space="preserve"> 1885-A </w:t>
    </w:r>
    <w:r w:rsidRPr="00A161DC">
      <w:rPr>
        <w:rFonts w:cs="Arial"/>
        <w:noProof/>
        <w:sz w:val="16"/>
        <w:szCs w:val="16"/>
      </w:rPr>
      <w:t>P2025.docx</w:t>
    </w:r>
    <w:r w:rsidRPr="0096246F">
      <w:rPr>
        <w:rFonts w:cs="Arial"/>
        <w:noProof/>
        <w:sz w:val="16"/>
        <w:szCs w:val="16"/>
      </w:rPr>
      <w:fldChar w:fldCharType="end"/>
    </w:r>
    <w:r w:rsidRPr="0096246F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96246F">
      <w:rPr>
        <w:rFonts w:cs="Arial"/>
        <w:snapToGrid w:val="0"/>
        <w:color w:val="000000"/>
        <w:sz w:val="16"/>
      </w:rPr>
      <w:t xml:space="preserve"> CVS Caremark. All rights reserved.</w:t>
    </w:r>
  </w:p>
  <w:p w14:paraId="79844B69" w14:textId="77777777" w:rsidR="00A161DC" w:rsidRPr="0096246F" w:rsidRDefault="00A161DC" w:rsidP="00A161D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96246F">
      <w:rPr>
        <w:rFonts w:cs="Arial"/>
        <w:sz w:val="16"/>
        <w:szCs w:val="16"/>
      </w:rPr>
      <w:t>This document contains c</w:t>
    </w:r>
    <w:r w:rsidRPr="0096246F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96246F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96246F">
      <w:rPr>
        <w:rFonts w:cs="Arial"/>
        <w:snapToGrid w:val="0"/>
        <w:sz w:val="16"/>
        <w:szCs w:val="16"/>
      </w:rPr>
      <w:t>CVS Caremark</w:t>
    </w:r>
    <w:r w:rsidRPr="0096246F">
      <w:rPr>
        <w:rFonts w:cs="Arial"/>
        <w:sz w:val="16"/>
        <w:szCs w:val="16"/>
      </w:rPr>
      <w:t>.</w:t>
    </w:r>
  </w:p>
  <w:p w14:paraId="0DF8DEBC" w14:textId="6DD42DD1" w:rsidR="00F75C81" w:rsidRPr="00A161DC" w:rsidRDefault="00A161DC" w:rsidP="00A161DC">
    <w:pPr>
      <w:autoSpaceDE w:val="0"/>
      <w:autoSpaceDN w:val="0"/>
      <w:adjustRightInd w:val="0"/>
      <w:jc w:val="center"/>
      <w:rPr>
        <w:sz w:val="16"/>
        <w:szCs w:val="16"/>
      </w:rPr>
    </w:pPr>
    <w:r w:rsidRPr="00A161DC">
      <w:rPr>
        <w:sz w:val="16"/>
        <w:szCs w:val="16"/>
      </w:rPr>
      <w:fldChar w:fldCharType="begin"/>
    </w:r>
    <w:r w:rsidRPr="00A161DC">
      <w:rPr>
        <w:sz w:val="16"/>
        <w:szCs w:val="16"/>
      </w:rPr>
      <w:instrText xml:space="preserve"> PAGE </w:instrText>
    </w:r>
    <w:r w:rsidRPr="00A161DC">
      <w:rPr>
        <w:sz w:val="16"/>
        <w:szCs w:val="16"/>
      </w:rPr>
      <w:fldChar w:fldCharType="separate"/>
    </w:r>
    <w:r w:rsidRPr="00A161DC">
      <w:rPr>
        <w:sz w:val="16"/>
        <w:szCs w:val="16"/>
      </w:rPr>
      <w:t>1</w:t>
    </w:r>
    <w:r w:rsidRPr="00A161DC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2943B79" w:rsidR="00F50D98" w:rsidRPr="0096246F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6246F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161DC" w:rsidRPr="00A161DC">
      <w:rPr>
        <w:rFonts w:cs="Arial"/>
        <w:noProof/>
        <w:sz w:val="16"/>
        <w:szCs w:val="16"/>
      </w:rPr>
      <w:t>Orkambi SGM</w:t>
    </w:r>
    <w:r w:rsidR="00A161DC">
      <w:rPr>
        <w:rFonts w:cs="Arial"/>
        <w:noProof/>
        <w:snapToGrid w:val="0"/>
        <w:color w:val="000000"/>
        <w:sz w:val="16"/>
        <w:szCs w:val="16"/>
      </w:rPr>
      <w:t xml:space="preserve"> 1885-A </w:t>
    </w:r>
    <w:r w:rsidR="00A161DC" w:rsidRPr="00A161DC">
      <w:rPr>
        <w:rFonts w:cs="Arial"/>
        <w:noProof/>
        <w:sz w:val="16"/>
        <w:szCs w:val="16"/>
      </w:rPr>
      <w:t>P2025.docx</w:t>
    </w:r>
    <w:r w:rsidRPr="0096246F">
      <w:rPr>
        <w:rFonts w:cs="Arial"/>
        <w:noProof/>
        <w:sz w:val="16"/>
        <w:szCs w:val="16"/>
      </w:rPr>
      <w:fldChar w:fldCharType="end"/>
    </w:r>
    <w:r w:rsidRPr="0096246F">
      <w:rPr>
        <w:rFonts w:cs="Arial"/>
        <w:snapToGrid w:val="0"/>
        <w:color w:val="000000"/>
        <w:sz w:val="16"/>
      </w:rPr>
      <w:tab/>
      <w:t>© 202</w:t>
    </w:r>
    <w:r w:rsidR="00E07996">
      <w:rPr>
        <w:rFonts w:cs="Arial"/>
        <w:snapToGrid w:val="0"/>
        <w:color w:val="000000"/>
        <w:sz w:val="16"/>
      </w:rPr>
      <w:t>5</w:t>
    </w:r>
    <w:r w:rsidRPr="0096246F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D7C76DF" w:rsidR="00F50D98" w:rsidRPr="0096246F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96246F">
      <w:rPr>
        <w:rFonts w:cs="Arial"/>
        <w:sz w:val="16"/>
        <w:szCs w:val="16"/>
      </w:rPr>
      <w:t>This document contains c</w:t>
    </w:r>
    <w:r w:rsidRPr="0096246F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96246F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96246F">
      <w:rPr>
        <w:rFonts w:cs="Arial"/>
        <w:snapToGrid w:val="0"/>
        <w:sz w:val="16"/>
        <w:szCs w:val="16"/>
      </w:rPr>
      <w:t>CVS Caremark</w:t>
    </w:r>
    <w:r w:rsidRPr="0096246F">
      <w:rPr>
        <w:rFonts w:cs="Arial"/>
        <w:sz w:val="16"/>
        <w:szCs w:val="16"/>
      </w:rPr>
      <w:t>.</w:t>
    </w:r>
  </w:p>
  <w:p w14:paraId="64F317B8" w14:textId="77F213AE" w:rsidR="00ED04EC" w:rsidRPr="0096246F" w:rsidRDefault="00F50D98" w:rsidP="00D21D77">
    <w:pPr>
      <w:autoSpaceDE w:val="0"/>
      <w:autoSpaceDN w:val="0"/>
      <w:adjustRightInd w:val="0"/>
      <w:jc w:val="center"/>
      <w:rPr>
        <w:sz w:val="16"/>
        <w:szCs w:val="16"/>
      </w:rPr>
    </w:pPr>
    <w:r w:rsidRPr="0096246F">
      <w:rPr>
        <w:rFonts w:cs="Arial"/>
        <w:sz w:val="16"/>
        <w:szCs w:val="16"/>
      </w:rPr>
      <w:fldChar w:fldCharType="begin"/>
    </w:r>
    <w:r w:rsidRPr="0096246F">
      <w:rPr>
        <w:rFonts w:cs="Arial"/>
        <w:sz w:val="16"/>
        <w:szCs w:val="16"/>
      </w:rPr>
      <w:instrText xml:space="preserve"> PAGE </w:instrText>
    </w:r>
    <w:r w:rsidRPr="0096246F">
      <w:rPr>
        <w:rFonts w:cs="Arial"/>
        <w:sz w:val="16"/>
        <w:szCs w:val="16"/>
      </w:rPr>
      <w:fldChar w:fldCharType="separate"/>
    </w:r>
    <w:r w:rsidRPr="0096246F">
      <w:rPr>
        <w:rFonts w:cs="Arial"/>
        <w:sz w:val="16"/>
        <w:szCs w:val="16"/>
      </w:rPr>
      <w:t>2</w:t>
    </w:r>
    <w:r w:rsidRPr="0096246F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02A5" w14:textId="01A8B293" w:rsidR="00665B12" w:rsidRPr="0096246F" w:rsidRDefault="00665B12" w:rsidP="00665B1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6246F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96246F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161DC" w:rsidRPr="00A161DC">
      <w:rPr>
        <w:rFonts w:cs="Arial"/>
        <w:noProof/>
        <w:sz w:val="16"/>
        <w:szCs w:val="16"/>
      </w:rPr>
      <w:t>Orkambi SGM</w:t>
    </w:r>
    <w:r w:rsidR="00A161DC">
      <w:rPr>
        <w:rFonts w:cs="Arial"/>
        <w:noProof/>
        <w:snapToGrid w:val="0"/>
        <w:color w:val="000000"/>
        <w:sz w:val="16"/>
        <w:szCs w:val="16"/>
      </w:rPr>
      <w:t xml:space="preserve"> 1885-A </w:t>
    </w:r>
    <w:r w:rsidR="00A161DC" w:rsidRPr="00A161DC">
      <w:rPr>
        <w:rFonts w:cs="Arial"/>
        <w:noProof/>
        <w:sz w:val="16"/>
        <w:szCs w:val="16"/>
      </w:rPr>
      <w:t>P2025.docx</w:t>
    </w:r>
    <w:r w:rsidRPr="0096246F">
      <w:rPr>
        <w:rFonts w:cs="Arial"/>
        <w:noProof/>
        <w:sz w:val="16"/>
        <w:szCs w:val="16"/>
      </w:rPr>
      <w:fldChar w:fldCharType="end"/>
    </w:r>
    <w:r w:rsidRPr="0096246F">
      <w:rPr>
        <w:rFonts w:cs="Arial"/>
        <w:snapToGrid w:val="0"/>
        <w:color w:val="000000"/>
        <w:sz w:val="16"/>
      </w:rPr>
      <w:tab/>
      <w:t>© 202</w:t>
    </w:r>
    <w:r w:rsidR="00E07996">
      <w:rPr>
        <w:rFonts w:cs="Arial"/>
        <w:snapToGrid w:val="0"/>
        <w:color w:val="000000"/>
        <w:sz w:val="16"/>
      </w:rPr>
      <w:t>5</w:t>
    </w:r>
    <w:r w:rsidRPr="0096246F">
      <w:rPr>
        <w:rFonts w:cs="Arial"/>
        <w:snapToGrid w:val="0"/>
        <w:color w:val="000000"/>
        <w:sz w:val="16"/>
      </w:rPr>
      <w:t xml:space="preserve"> CVS Caremark. All rights reserved.</w:t>
    </w:r>
  </w:p>
  <w:p w14:paraId="1B3B514E" w14:textId="77777777" w:rsidR="00665B12" w:rsidRPr="0096246F" w:rsidRDefault="00665B12" w:rsidP="00665B1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96246F">
      <w:rPr>
        <w:rFonts w:cs="Arial"/>
        <w:sz w:val="16"/>
        <w:szCs w:val="16"/>
      </w:rPr>
      <w:t>This document contains c</w:t>
    </w:r>
    <w:r w:rsidRPr="0096246F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96246F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96246F">
      <w:rPr>
        <w:rFonts w:cs="Arial"/>
        <w:snapToGrid w:val="0"/>
        <w:sz w:val="16"/>
        <w:szCs w:val="16"/>
      </w:rPr>
      <w:t>CVS Caremark</w:t>
    </w:r>
    <w:r w:rsidRPr="0096246F">
      <w:rPr>
        <w:rFonts w:cs="Arial"/>
        <w:sz w:val="16"/>
        <w:szCs w:val="16"/>
      </w:rPr>
      <w:t>.</w:t>
    </w:r>
  </w:p>
  <w:p w14:paraId="706D1674" w14:textId="4DAADD40" w:rsidR="000F5383" w:rsidRPr="00F50D98" w:rsidRDefault="00665B12" w:rsidP="00D21D77">
    <w:pPr>
      <w:tabs>
        <w:tab w:val="right" w:pos="10710"/>
      </w:tabs>
      <w:jc w:val="center"/>
      <w:rPr>
        <w:sz w:val="16"/>
        <w:szCs w:val="16"/>
      </w:rPr>
    </w:pPr>
    <w:r w:rsidRPr="0096246F">
      <w:rPr>
        <w:rFonts w:cs="Arial"/>
        <w:sz w:val="16"/>
        <w:szCs w:val="16"/>
      </w:rPr>
      <w:fldChar w:fldCharType="begin"/>
    </w:r>
    <w:r w:rsidRPr="0096246F">
      <w:rPr>
        <w:rFonts w:cs="Arial"/>
        <w:sz w:val="16"/>
        <w:szCs w:val="16"/>
      </w:rPr>
      <w:instrText xml:space="preserve"> PAGE </w:instrText>
    </w:r>
    <w:r w:rsidRPr="0096246F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96246F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243B" w14:textId="77777777" w:rsidR="005626C7" w:rsidRDefault="005626C7">
      <w:r>
        <w:separator/>
      </w:r>
    </w:p>
  </w:footnote>
  <w:footnote w:type="continuationSeparator" w:id="0">
    <w:p w14:paraId="04796F1B" w14:textId="77777777" w:rsidR="005626C7" w:rsidRDefault="005626C7">
      <w:r>
        <w:continuationSeparator/>
      </w:r>
    </w:p>
  </w:footnote>
  <w:footnote w:type="continuationNotice" w:id="1">
    <w:p w14:paraId="6A676E72" w14:textId="77777777" w:rsidR="005626C7" w:rsidRDefault="005626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27DF269" w:rsidR="00ED04EC" w:rsidRPr="0096246F" w:rsidRDefault="00D64B35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96246F">
            <w:rPr>
              <w:color w:val="000000" w:themeColor="text1"/>
              <w:sz w:val="16"/>
              <w:szCs w:val="16"/>
            </w:rPr>
            <w:t>1885-A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6246F" w:rsidRPr="0096246F" w14:paraId="7946B481" w14:textId="77777777" w:rsidTr="00855BE7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25DBB8A1" w14:textId="77777777" w:rsidR="0096246F" w:rsidRPr="0096246F" w:rsidRDefault="0096246F" w:rsidP="0096246F">
          <w:pPr>
            <w:pStyle w:val="Header"/>
            <w:rPr>
              <w:rFonts w:cs="Arial"/>
              <w:sz w:val="16"/>
              <w:szCs w:val="16"/>
            </w:rPr>
          </w:pPr>
          <w:r w:rsidRPr="0096246F">
            <w:rPr>
              <w:rFonts w:cs="Arial"/>
              <w:sz w:val="16"/>
              <w:szCs w:val="16"/>
            </w:rPr>
            <w:t>Reference number(s)</w:t>
          </w:r>
        </w:p>
      </w:tc>
    </w:tr>
    <w:tr w:rsidR="0096246F" w:rsidRPr="0096246F" w14:paraId="76EB1457" w14:textId="77777777" w:rsidTr="00855BE7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7A5A9" w14:textId="77777777" w:rsidR="0096246F" w:rsidRPr="0096246F" w:rsidRDefault="0096246F" w:rsidP="0096246F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96246F">
            <w:rPr>
              <w:color w:val="000000" w:themeColor="text1"/>
              <w:sz w:val="16"/>
              <w:szCs w:val="16"/>
            </w:rPr>
            <w:t>1885-A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32A42"/>
    <w:multiLevelType w:val="hybridMultilevel"/>
    <w:tmpl w:val="C7F20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F4F31"/>
    <w:multiLevelType w:val="hybridMultilevel"/>
    <w:tmpl w:val="8E167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7443B"/>
    <w:multiLevelType w:val="hybridMultilevel"/>
    <w:tmpl w:val="76AAC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2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5"/>
  </w:num>
  <w:num w:numId="18" w16cid:durableId="299724409">
    <w:abstractNumId w:val="19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6"/>
  </w:num>
  <w:num w:numId="26" w16cid:durableId="632100103">
    <w:abstractNumId w:val="24"/>
  </w:num>
  <w:num w:numId="27" w16cid:durableId="1687174302">
    <w:abstractNumId w:val="15"/>
  </w:num>
  <w:num w:numId="28" w16cid:durableId="524179337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67C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2F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E7D4B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10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4DB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864"/>
    <w:rsid w:val="0020721A"/>
    <w:rsid w:val="002077DB"/>
    <w:rsid w:val="00207EA9"/>
    <w:rsid w:val="00210959"/>
    <w:rsid w:val="00211DE1"/>
    <w:rsid w:val="00212062"/>
    <w:rsid w:val="00213310"/>
    <w:rsid w:val="002134FD"/>
    <w:rsid w:val="002137DE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71A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11D"/>
    <w:rsid w:val="002A02BE"/>
    <w:rsid w:val="002A064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836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2F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499D"/>
    <w:rsid w:val="004154F5"/>
    <w:rsid w:val="0041567E"/>
    <w:rsid w:val="004160F6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2DAC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26C7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BFE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7FF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0A3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0D65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6C9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B12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2FC1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963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07AD1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5D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316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4C85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46F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65E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1DC"/>
    <w:rsid w:val="00A16536"/>
    <w:rsid w:val="00A16E35"/>
    <w:rsid w:val="00A20159"/>
    <w:rsid w:val="00A2137A"/>
    <w:rsid w:val="00A21480"/>
    <w:rsid w:val="00A23BE3"/>
    <w:rsid w:val="00A24116"/>
    <w:rsid w:val="00A242BE"/>
    <w:rsid w:val="00A24857"/>
    <w:rsid w:val="00A25BB6"/>
    <w:rsid w:val="00A278EB"/>
    <w:rsid w:val="00A320D9"/>
    <w:rsid w:val="00A326BC"/>
    <w:rsid w:val="00A32801"/>
    <w:rsid w:val="00A33289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594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8AB"/>
    <w:rsid w:val="00A80C6E"/>
    <w:rsid w:val="00A80EB5"/>
    <w:rsid w:val="00A82509"/>
    <w:rsid w:val="00A82A1D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18A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863"/>
    <w:rsid w:val="00B14A97"/>
    <w:rsid w:val="00B14DD8"/>
    <w:rsid w:val="00B15017"/>
    <w:rsid w:val="00B155C3"/>
    <w:rsid w:val="00B1618D"/>
    <w:rsid w:val="00B16249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6DC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D77C7"/>
    <w:rsid w:val="00BE181E"/>
    <w:rsid w:val="00BE1A32"/>
    <w:rsid w:val="00BE1EEE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1D39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AE8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6BA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B85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1D77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4B35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0C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758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6BA"/>
    <w:rsid w:val="00E057C3"/>
    <w:rsid w:val="00E057F8"/>
    <w:rsid w:val="00E06458"/>
    <w:rsid w:val="00E074AC"/>
    <w:rsid w:val="00E07603"/>
    <w:rsid w:val="00E07996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CC4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3E5C"/>
    <w:rsid w:val="00E94080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0705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599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51B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96246F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96246F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ce173f13-e3a2-4c5f-8c54-d0382ae88016"/>
    <ds:schemaRef ds:uri="102fadf2-6cae-45bc-95f6-bc2613b985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62128D-DC7E-498C-A560-C0CF654F91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Orkambi SGM 1885-A</vt:lpstr>
    </vt:vector>
  </TitlesOfParts>
  <Company>CVS Caremark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Orkambi SGM 1885-A</dc:title>
  <dc:subject>Orkambi SGM 1885-A</dc:subject>
  <dc:creator>CVS Caremark</dc:creator>
  <cp:keywords/>
  <cp:lastModifiedBy>Reynoso, Victor H</cp:lastModifiedBy>
  <cp:revision>47</cp:revision>
  <cp:lastPrinted>2018-01-09T05:01:00Z</cp:lastPrinted>
  <dcterms:created xsi:type="dcterms:W3CDTF">2024-04-05T08:32:00Z</dcterms:created>
  <dcterms:modified xsi:type="dcterms:W3CDTF">2025-05-05T15:58:00Z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153800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